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6E24C" w14:textId="5C6B2765" w:rsidR="002E1129" w:rsidRDefault="002E1129" w:rsidP="002E112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IDFont+F4" w:hAnsi="CIDFont+F4" w:cs="CIDFont+F4"/>
          <w:b/>
          <w:bCs/>
          <w:color w:val="0070C0"/>
          <w:sz w:val="24"/>
          <w:szCs w:val="24"/>
          <w:lang w:val="pt"/>
        </w:rPr>
      </w:pPr>
      <w:r>
        <w:rPr>
          <w:rFonts w:ascii="CIDFont+F4" w:hAnsi="CIDFont+F4" w:cs="CIDFont+F4"/>
          <w:b/>
          <w:bCs/>
          <w:color w:val="0070C0"/>
          <w:sz w:val="24"/>
          <w:szCs w:val="24"/>
          <w:lang w:val="pt"/>
        </w:rPr>
        <w:t>DECLARA</w:t>
      </w:r>
      <w:r>
        <w:rPr>
          <w:rFonts w:ascii="Calibri" w:hAnsi="Calibri" w:cs="Calibri"/>
          <w:b/>
          <w:bCs/>
          <w:color w:val="0070C0"/>
          <w:sz w:val="24"/>
          <w:szCs w:val="24"/>
          <w:lang w:val="pt"/>
        </w:rPr>
        <w:t>ÇÃ</w:t>
      </w:r>
      <w:r>
        <w:rPr>
          <w:rFonts w:ascii="CIDFont+F4" w:hAnsi="CIDFont+F4" w:cs="CIDFont+F4"/>
          <w:b/>
          <w:bCs/>
          <w:color w:val="0070C0"/>
          <w:sz w:val="24"/>
          <w:szCs w:val="24"/>
          <w:lang w:val="pt"/>
        </w:rPr>
        <w:t>O DO CONTADOR</w:t>
      </w:r>
    </w:p>
    <w:p w14:paraId="15D33206" w14:textId="6232CBF9" w:rsidR="002E1129" w:rsidRDefault="002E1129" w:rsidP="002E112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IDFont+F4" w:hAnsi="CIDFont+F4" w:cs="CIDFont+F4"/>
          <w:b/>
          <w:bCs/>
          <w:color w:val="0070C0"/>
          <w:sz w:val="24"/>
          <w:szCs w:val="24"/>
          <w:lang w:val="pt"/>
        </w:rPr>
      </w:pPr>
    </w:p>
    <w:p w14:paraId="51C7E759" w14:textId="7D031DA4" w:rsidR="002E1129" w:rsidRDefault="002E1129" w:rsidP="002E112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IDFont+F4" w:hAnsi="CIDFont+F4" w:cs="CIDFont+F4"/>
          <w:b/>
          <w:bCs/>
          <w:color w:val="0070C0"/>
          <w:sz w:val="24"/>
          <w:szCs w:val="24"/>
          <w:lang w:val="pt"/>
        </w:rPr>
      </w:pPr>
    </w:p>
    <w:p w14:paraId="7B951463" w14:textId="77777777" w:rsidR="002E1129" w:rsidRDefault="002E1129" w:rsidP="002E112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IDFont+F4" w:hAnsi="CIDFont+F4" w:cs="CIDFont+F4"/>
          <w:b/>
          <w:bCs/>
          <w:color w:val="0070C0"/>
          <w:sz w:val="24"/>
          <w:szCs w:val="24"/>
          <w:lang w:val="pt"/>
        </w:rPr>
      </w:pPr>
    </w:p>
    <w:p w14:paraId="35D69B12" w14:textId="74159867" w:rsidR="002E1129" w:rsidRDefault="002E1129" w:rsidP="00715F5F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  <w:color w:val="000000"/>
          <w:sz w:val="24"/>
          <w:szCs w:val="24"/>
          <w:lang w:val="pt"/>
        </w:rPr>
      </w:pPr>
      <w:r>
        <w:rPr>
          <w:rFonts w:ascii="CIDFont+F3" w:hAnsi="CIDFont+F3" w:cs="CIDFont+F3"/>
          <w:color w:val="000000"/>
          <w:sz w:val="24"/>
          <w:szCs w:val="24"/>
          <w:lang w:val="pt"/>
        </w:rPr>
        <w:t>Declaro que os demonstrativos cont</w:t>
      </w:r>
      <w:r>
        <w:rPr>
          <w:rFonts w:ascii="Calibri" w:hAnsi="Calibri" w:cs="Calibri"/>
          <w:color w:val="000000"/>
          <w:sz w:val="24"/>
          <w:szCs w:val="24"/>
          <w:lang w:val="pt"/>
        </w:rPr>
        <w:t>á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beis constantes do CRQ - 2</w:t>
      </w:r>
      <w:r>
        <w:rPr>
          <w:rFonts w:ascii="Calibri" w:hAnsi="Calibri" w:cs="Calibri"/>
          <w:color w:val="000000"/>
          <w:sz w:val="24"/>
          <w:szCs w:val="24"/>
          <w:lang w:val="pt"/>
        </w:rPr>
        <w:t>ª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 xml:space="preserve"> Regi</w:t>
      </w:r>
      <w:r>
        <w:rPr>
          <w:rFonts w:ascii="Calibri" w:hAnsi="Calibri" w:cs="Calibri"/>
          <w:color w:val="000000"/>
          <w:sz w:val="24"/>
          <w:szCs w:val="24"/>
          <w:lang w:val="pt"/>
        </w:rPr>
        <w:t>ã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o/MG (Balan</w:t>
      </w:r>
      <w:r>
        <w:rPr>
          <w:rFonts w:ascii="Calibri" w:hAnsi="Calibri" w:cs="Calibri"/>
          <w:color w:val="000000"/>
          <w:sz w:val="24"/>
          <w:szCs w:val="24"/>
          <w:lang w:val="pt"/>
        </w:rPr>
        <w:t>ç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os Or</w:t>
      </w:r>
      <w:r>
        <w:rPr>
          <w:rFonts w:ascii="Calibri" w:hAnsi="Calibri" w:cs="Calibri"/>
          <w:color w:val="000000"/>
          <w:sz w:val="24"/>
          <w:szCs w:val="24"/>
          <w:lang w:val="pt"/>
        </w:rPr>
        <w:t>ç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ament</w:t>
      </w:r>
      <w:r>
        <w:rPr>
          <w:rFonts w:ascii="Calibri" w:hAnsi="Calibri" w:cs="Calibri"/>
          <w:color w:val="000000"/>
          <w:sz w:val="24"/>
          <w:szCs w:val="24"/>
          <w:lang w:val="pt"/>
        </w:rPr>
        <w:t>á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rio, Financeiro e Patrimonial, as Demonstra</w:t>
      </w:r>
      <w:r>
        <w:rPr>
          <w:rFonts w:ascii="Calibri" w:hAnsi="Calibri" w:cs="Calibri"/>
          <w:color w:val="000000"/>
          <w:sz w:val="24"/>
          <w:szCs w:val="24"/>
          <w:lang w:val="pt"/>
        </w:rPr>
        <w:t>çõ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es das Varia</w:t>
      </w:r>
      <w:r>
        <w:rPr>
          <w:rFonts w:ascii="Calibri" w:hAnsi="Calibri" w:cs="Calibri"/>
          <w:color w:val="000000"/>
          <w:sz w:val="24"/>
          <w:szCs w:val="24"/>
          <w:lang w:val="pt"/>
        </w:rPr>
        <w:t>çõ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es Patrimoniais e do Fluxo de Caixa), regido pela Lei 4.320/1964 e pela Norma Brasileira de Contabilidade Aplicada ao Setor P</w:t>
      </w:r>
      <w:r>
        <w:rPr>
          <w:rFonts w:ascii="Calibri" w:hAnsi="Calibri" w:cs="Calibri"/>
          <w:color w:val="000000"/>
          <w:sz w:val="24"/>
          <w:szCs w:val="24"/>
          <w:lang w:val="pt"/>
        </w:rPr>
        <w:t>ú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blico, relativa ao exerc</w:t>
      </w:r>
      <w:r>
        <w:rPr>
          <w:rFonts w:ascii="Calibri" w:hAnsi="Calibri" w:cs="Calibri"/>
          <w:color w:val="000000"/>
          <w:sz w:val="24"/>
          <w:szCs w:val="24"/>
          <w:lang w:val="pt"/>
        </w:rPr>
        <w:t>í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cio de 20</w:t>
      </w:r>
      <w:r w:rsidR="00715F5F">
        <w:rPr>
          <w:rFonts w:ascii="CIDFont+F3" w:hAnsi="CIDFont+F3" w:cs="CIDFont+F3"/>
          <w:color w:val="000000"/>
          <w:sz w:val="24"/>
          <w:szCs w:val="24"/>
          <w:lang w:val="pt"/>
        </w:rPr>
        <w:t>2</w:t>
      </w:r>
      <w:r w:rsidR="00C22A7D">
        <w:rPr>
          <w:rFonts w:ascii="CIDFont+F3" w:hAnsi="CIDFont+F3" w:cs="CIDFont+F3"/>
          <w:color w:val="000000"/>
          <w:sz w:val="24"/>
          <w:szCs w:val="24"/>
          <w:lang w:val="pt"/>
        </w:rPr>
        <w:t>2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, refletem adequadamente e integralmente a situa</w:t>
      </w:r>
      <w:r>
        <w:rPr>
          <w:rFonts w:ascii="Calibri" w:hAnsi="Calibri" w:cs="Calibri"/>
          <w:color w:val="000000"/>
          <w:sz w:val="24"/>
          <w:szCs w:val="24"/>
          <w:lang w:val="pt"/>
        </w:rPr>
        <w:t>çã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o or</w:t>
      </w:r>
      <w:r>
        <w:rPr>
          <w:rFonts w:ascii="Calibri" w:hAnsi="Calibri" w:cs="Calibri"/>
          <w:color w:val="000000"/>
          <w:sz w:val="24"/>
          <w:szCs w:val="24"/>
          <w:lang w:val="pt"/>
        </w:rPr>
        <w:t>ç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ament</w:t>
      </w:r>
      <w:r>
        <w:rPr>
          <w:rFonts w:ascii="Calibri" w:hAnsi="Calibri" w:cs="Calibri"/>
          <w:color w:val="000000"/>
          <w:sz w:val="24"/>
          <w:szCs w:val="24"/>
          <w:lang w:val="pt"/>
        </w:rPr>
        <w:t>á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ria, financeira e patrimonial do CRQ-2</w:t>
      </w:r>
      <w:r>
        <w:rPr>
          <w:rFonts w:ascii="Calibri" w:hAnsi="Calibri" w:cs="Calibri"/>
          <w:color w:val="000000"/>
          <w:sz w:val="24"/>
          <w:szCs w:val="24"/>
          <w:lang w:val="pt"/>
        </w:rPr>
        <w:t>ª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 xml:space="preserve"> Regi</w:t>
      </w:r>
      <w:r>
        <w:rPr>
          <w:rFonts w:ascii="Calibri" w:hAnsi="Calibri" w:cs="Calibri"/>
          <w:color w:val="000000"/>
          <w:sz w:val="24"/>
          <w:szCs w:val="24"/>
          <w:lang w:val="pt"/>
        </w:rPr>
        <w:t>ã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o/MG que apresenta o Relat</w:t>
      </w:r>
      <w:r>
        <w:rPr>
          <w:rFonts w:ascii="Calibri" w:hAnsi="Calibri" w:cs="Calibri"/>
          <w:color w:val="000000"/>
          <w:sz w:val="24"/>
          <w:szCs w:val="24"/>
          <w:lang w:val="pt"/>
        </w:rPr>
        <w:t>ó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rio de Gest</w:t>
      </w:r>
      <w:r>
        <w:rPr>
          <w:rFonts w:ascii="Calibri" w:hAnsi="Calibri" w:cs="Calibri"/>
          <w:color w:val="000000"/>
          <w:sz w:val="24"/>
          <w:szCs w:val="24"/>
          <w:lang w:val="pt"/>
        </w:rPr>
        <w:t>ã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o.</w:t>
      </w:r>
    </w:p>
    <w:p w14:paraId="1EB195A7" w14:textId="1C744FF2" w:rsidR="002E1129" w:rsidRDefault="002E1129" w:rsidP="00715F5F">
      <w:pPr>
        <w:autoSpaceDE w:val="0"/>
        <w:autoSpaceDN w:val="0"/>
        <w:adjustRightInd w:val="0"/>
        <w:spacing w:after="0" w:line="360" w:lineRule="auto"/>
        <w:jc w:val="both"/>
        <w:rPr>
          <w:rFonts w:ascii="CIDFont+F3" w:hAnsi="CIDFont+F3" w:cs="CIDFont+F3"/>
          <w:color w:val="000000"/>
          <w:sz w:val="24"/>
          <w:szCs w:val="24"/>
          <w:lang w:val="pt"/>
        </w:rPr>
      </w:pPr>
      <w:r>
        <w:rPr>
          <w:rFonts w:ascii="CIDFont+F3" w:hAnsi="CIDFont+F3" w:cs="CIDFont+F3"/>
          <w:color w:val="000000"/>
          <w:sz w:val="24"/>
          <w:szCs w:val="24"/>
          <w:lang w:val="pt"/>
        </w:rPr>
        <w:t>Estou ciente das responsabilidades civis e profissionais desta declara</w:t>
      </w:r>
      <w:r>
        <w:rPr>
          <w:rFonts w:ascii="Calibri" w:hAnsi="Calibri" w:cs="Calibri"/>
          <w:color w:val="000000"/>
          <w:sz w:val="24"/>
          <w:szCs w:val="24"/>
          <w:lang w:val="pt"/>
        </w:rPr>
        <w:t>çã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o</w:t>
      </w:r>
      <w:r w:rsidR="00715F5F">
        <w:rPr>
          <w:rFonts w:ascii="CIDFont+F3" w:hAnsi="CIDFont+F3" w:cs="CIDFont+F3"/>
          <w:color w:val="000000"/>
          <w:sz w:val="24"/>
          <w:szCs w:val="24"/>
          <w:lang w:val="pt"/>
        </w:rPr>
        <w:t>.</w:t>
      </w:r>
    </w:p>
    <w:p w14:paraId="7734A90B" w14:textId="79B5C9D2" w:rsidR="002E1129" w:rsidRDefault="002E1129" w:rsidP="002E1129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24"/>
          <w:szCs w:val="24"/>
          <w:lang w:val="pt"/>
        </w:rPr>
      </w:pPr>
    </w:p>
    <w:p w14:paraId="4E0C661D" w14:textId="4CB644DF" w:rsidR="002E1129" w:rsidRDefault="002E1129" w:rsidP="002E1129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24"/>
          <w:szCs w:val="24"/>
          <w:lang w:val="pt"/>
        </w:rPr>
      </w:pPr>
    </w:p>
    <w:p w14:paraId="077CECCB" w14:textId="77777777" w:rsidR="002E1129" w:rsidRDefault="002E1129" w:rsidP="002E1129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000000"/>
          <w:sz w:val="24"/>
          <w:szCs w:val="24"/>
          <w:lang w:val="pt"/>
        </w:rPr>
      </w:pPr>
    </w:p>
    <w:p w14:paraId="1DC6D9A6" w14:textId="0A9269FE" w:rsidR="002E1129" w:rsidRDefault="002E1129" w:rsidP="002E1129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IDFont+F3" w:hAnsi="CIDFont+F3" w:cs="CIDFont+F3"/>
          <w:color w:val="000000"/>
          <w:sz w:val="24"/>
          <w:szCs w:val="24"/>
          <w:lang w:val="pt"/>
        </w:rPr>
      </w:pPr>
      <w:r>
        <w:rPr>
          <w:rFonts w:ascii="CIDFont+F3" w:hAnsi="CIDFont+F3" w:cs="CIDFont+F3"/>
          <w:color w:val="000000"/>
          <w:sz w:val="24"/>
          <w:szCs w:val="24"/>
          <w:lang w:val="pt"/>
        </w:rPr>
        <w:t xml:space="preserve">   Gilberto Gontijo do Amaral</w:t>
      </w:r>
    </w:p>
    <w:p w14:paraId="70986EB2" w14:textId="2AAB596D" w:rsidR="002E1129" w:rsidRDefault="002E1129" w:rsidP="002E112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IDFont+F3" w:hAnsi="CIDFont+F3" w:cs="CIDFont+F3"/>
          <w:color w:val="000000"/>
          <w:sz w:val="24"/>
          <w:szCs w:val="24"/>
          <w:lang w:val="pt"/>
        </w:rPr>
      </w:pPr>
      <w:r>
        <w:rPr>
          <w:rFonts w:ascii="CIDFont+F3" w:hAnsi="CIDFont+F3" w:cs="CIDFont+F3"/>
          <w:color w:val="000000"/>
          <w:sz w:val="24"/>
          <w:szCs w:val="24"/>
          <w:lang w:val="pt"/>
        </w:rPr>
        <w:t xml:space="preserve">          Contador</w:t>
      </w:r>
    </w:p>
    <w:p w14:paraId="22DBA81D" w14:textId="2682871B" w:rsidR="002E1129" w:rsidRDefault="002E1129" w:rsidP="002E112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IDFont+F3" w:hAnsi="CIDFont+F3" w:cs="CIDFont+F3"/>
          <w:color w:val="000000"/>
          <w:sz w:val="24"/>
          <w:szCs w:val="24"/>
          <w:lang w:val="pt"/>
        </w:rPr>
      </w:pPr>
      <w:r>
        <w:rPr>
          <w:rFonts w:ascii="CIDFont+F3" w:hAnsi="CIDFont+F3" w:cs="CIDFont+F3"/>
          <w:color w:val="000000"/>
          <w:sz w:val="24"/>
          <w:szCs w:val="24"/>
          <w:lang w:val="pt"/>
        </w:rPr>
        <w:t xml:space="preserve"> CRCMG</w:t>
      </w:r>
      <w:r w:rsidR="003E2CBA">
        <w:rPr>
          <w:rFonts w:ascii="CIDFont+F3" w:hAnsi="CIDFont+F3" w:cs="CIDFont+F3"/>
          <w:color w:val="000000"/>
          <w:sz w:val="24"/>
          <w:szCs w:val="24"/>
          <w:lang w:val="pt"/>
        </w:rPr>
        <w:t xml:space="preserve"> -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 xml:space="preserve"> 077502-0</w:t>
      </w:r>
    </w:p>
    <w:p w14:paraId="5FCD2757" w14:textId="49425D1A" w:rsidR="002E1129" w:rsidRDefault="002E1129" w:rsidP="002E1129">
      <w:pPr>
        <w:autoSpaceDE w:val="0"/>
        <w:autoSpaceDN w:val="0"/>
        <w:adjustRightInd w:val="0"/>
        <w:spacing w:after="200" w:line="276" w:lineRule="auto"/>
        <w:ind w:left="2832" w:firstLine="708"/>
        <w:rPr>
          <w:rFonts w:ascii="Calibri" w:hAnsi="Calibri" w:cs="Calibri"/>
          <w:lang w:val="pt"/>
        </w:rPr>
      </w:pPr>
      <w:r>
        <w:rPr>
          <w:rFonts w:ascii="CIDFont+F3" w:hAnsi="CIDFont+F3" w:cs="CIDFont+F3"/>
          <w:color w:val="000000"/>
          <w:sz w:val="24"/>
          <w:szCs w:val="24"/>
          <w:lang w:val="pt"/>
        </w:rPr>
        <w:t xml:space="preserve">CPF: </w:t>
      </w:r>
      <w:r w:rsidR="00C16E3F">
        <w:rPr>
          <w:rFonts w:ascii="CIDFont+F3" w:hAnsi="CIDFont+F3" w:cs="CIDFont+F3"/>
          <w:color w:val="000000"/>
          <w:sz w:val="24"/>
          <w:szCs w:val="24"/>
          <w:lang w:val="pt"/>
        </w:rPr>
        <w:t>***</w:t>
      </w:r>
      <w:r>
        <w:rPr>
          <w:rFonts w:ascii="CIDFont+F3" w:hAnsi="CIDFont+F3" w:cs="CIDFont+F3"/>
          <w:color w:val="000000"/>
          <w:sz w:val="24"/>
          <w:szCs w:val="24"/>
          <w:lang w:val="pt"/>
        </w:rPr>
        <w:t>.468.716</w:t>
      </w:r>
      <w:r w:rsidR="00C16E3F">
        <w:rPr>
          <w:rFonts w:ascii="CIDFont+F3" w:hAnsi="CIDFont+F3" w:cs="CIDFont+F3"/>
          <w:color w:val="000000"/>
          <w:sz w:val="24"/>
          <w:szCs w:val="24"/>
          <w:lang w:val="pt"/>
        </w:rPr>
        <w:t>-**</w:t>
      </w:r>
    </w:p>
    <w:p w14:paraId="7C89DC49" w14:textId="77777777" w:rsidR="00D259D9" w:rsidRPr="002E1129" w:rsidRDefault="00D259D9" w:rsidP="002E1129"/>
    <w:sectPr w:rsidR="00D259D9" w:rsidRPr="002E11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4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3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29"/>
    <w:rsid w:val="002E1129"/>
    <w:rsid w:val="003E2CBA"/>
    <w:rsid w:val="00715F5F"/>
    <w:rsid w:val="008C516D"/>
    <w:rsid w:val="00C16E3F"/>
    <w:rsid w:val="00C22A7D"/>
    <w:rsid w:val="00D2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8245"/>
  <w15:chartTrackingRefBased/>
  <w15:docId w15:val="{3439833D-DAAD-4650-A70F-0FBE002A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1CA59-8E8E-46CE-8D69-D9AD69F4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551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Gontijo</dc:creator>
  <cp:keywords/>
  <dc:description/>
  <cp:lastModifiedBy>Eduardo Rangel</cp:lastModifiedBy>
  <cp:revision>14</cp:revision>
  <cp:lastPrinted>2023-03-29T16:19:00Z</cp:lastPrinted>
  <dcterms:created xsi:type="dcterms:W3CDTF">2021-03-15T14:21:00Z</dcterms:created>
  <dcterms:modified xsi:type="dcterms:W3CDTF">2023-03-29T16:19:00Z</dcterms:modified>
</cp:coreProperties>
</file>